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伊金霍洛旗东博煤矿有限责任公司</w:t>
      </w: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0"/>
          <w:szCs w:val="30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color w:val="000000"/>
          <w:sz w:val="36"/>
          <w:szCs w:val="36"/>
          <w:lang w:val="en-US" w:eastAsia="zh-CN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default" w:ascii="宋体" w:hAnsi="宋体" w:eastAsia="宋体" w:cs="宋体"/>
          <w:color w:val="000000"/>
          <w:sz w:val="40"/>
          <w:szCs w:val="40"/>
          <w:lang w:val="en-US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cs="宋体"/>
          <w:b/>
          <w:bCs/>
          <w:sz w:val="40"/>
          <w:szCs w:val="40"/>
          <w:lang w:val="en-US" w:eastAsia="zh-CN"/>
        </w:rPr>
        <w:t>筛分车间及井下皮带机主要滚筒备件技术协议</w:t>
      </w: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rPr>
          <w:rFonts w:hint="eastAsia" w:ascii="宋体" w:hAnsi="宋体" w:eastAsia="宋体" w:cs="宋体"/>
          <w:color w:val="000000"/>
          <w:sz w:val="30"/>
          <w:szCs w:val="30"/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机运队</w:t>
      </w: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right"/>
        <w:rPr>
          <w:rFonts w:hint="eastAsia" w:ascii="宋体" w:hAnsi="宋体" w:eastAsia="宋体" w:cs="宋体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right"/>
        <w:rPr>
          <w:rFonts w:hint="eastAsia" w:ascii="宋体" w:hAnsi="宋体" w:eastAsia="宋体" w:cs="宋体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eastAsia="宋体" w:cs="宋体"/>
          <w:b/>
          <w:bCs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pageBreakBefore w:val="0"/>
        <w:kinsoku/>
        <w:wordWrap/>
        <w:overflowPunct/>
        <w:topLinePunct w:val="0"/>
        <w:bidi w:val="0"/>
        <w:adjustRightInd/>
        <w:spacing w:line="480" w:lineRule="auto"/>
        <w:jc w:val="center"/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2020年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12</w:t>
      </w:r>
      <w:r>
        <w:rPr>
          <w:rFonts w:hint="eastAsia" w:ascii="宋体" w:hAnsi="宋体" w:eastAsia="宋体" w:cs="宋体"/>
          <w:b w:val="0"/>
          <w:bCs w:val="0"/>
          <w:color w:val="000000"/>
          <w:sz w:val="30"/>
          <w:szCs w:val="3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月</w:t>
      </w:r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18</w:t>
      </w:r>
      <w:bookmarkStart w:id="0" w:name="_GoBack"/>
      <w:bookmarkEnd w:id="0"/>
      <w:r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日</w:t>
      </w:r>
    </w:p>
    <w:p>
      <w:pPr>
        <w:pStyle w:val="2"/>
        <w:rPr>
          <w:rFonts w:hint="eastAsia" w:ascii="宋体" w:hAnsi="宋体" w:cs="宋体"/>
          <w:b w:val="0"/>
          <w:bCs w:val="0"/>
          <w:color w:val="000000"/>
          <w:sz w:val="30"/>
          <w:szCs w:val="30"/>
          <w:lang w:val="en-US" w:eastAsia="zh-C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>
      <w:pPr>
        <w:rPr>
          <w:rFonts w:hint="default"/>
          <w:lang w:val="en-US"/>
        </w:rPr>
        <w:sectPr>
          <w:headerReference r:id="rId3" w:type="default"/>
          <w:footerReference r:id="rId4" w:type="default"/>
          <w:footerReference r:id="rId5" w:type="even"/>
          <w:pgSz w:w="11906" w:h="16838"/>
          <w:pgMar w:top="1440" w:right="1800" w:bottom="1440" w:left="1800" w:header="851" w:footer="992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start="1"/>
          <w:cols w:space="720" w:num="1"/>
          <w:docGrid w:type="lines" w:linePitch="312" w:charSpace="0"/>
        </w:sectPr>
      </w:pPr>
    </w:p>
    <w:p>
      <w:pPr>
        <w:bidi w:val="0"/>
        <w:jc w:val="center"/>
        <w:rPr>
          <w:rFonts w:hint="eastAsia"/>
          <w:b/>
          <w:bCs/>
          <w:sz w:val="40"/>
          <w:szCs w:val="44"/>
          <w:lang w:val="en-US" w:eastAsia="zh-CN"/>
        </w:rPr>
      </w:pPr>
      <w:r>
        <w:rPr>
          <w:rFonts w:hint="eastAsia"/>
          <w:b/>
          <w:bCs/>
          <w:sz w:val="40"/>
          <w:szCs w:val="44"/>
          <w:lang w:val="en-US" w:eastAsia="zh-CN"/>
        </w:rPr>
        <w:t>皮带机滚筒技术要求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" w:lineRule="atLeast"/>
        <w:textAlignment w:val="auto"/>
        <w:rPr>
          <w:rFonts w:hint="default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6"/>
          <w:szCs w:val="40"/>
          <w:lang w:val="en-US" w:eastAsia="zh-CN"/>
        </w:rPr>
        <w:t>一、滚筒技术要求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" w:lineRule="atLeast"/>
        <w:textAlignment w:val="auto"/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1、滚筒的选择要严格按照输送机的功率和张力计算，其许用扭矩和合力应满足各种工况的要求。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" w:lineRule="atLeast"/>
        <w:textAlignment w:val="auto"/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32"/>
          <w:sz w:val="32"/>
          <w:szCs w:val="32"/>
          <w:shd w:val="clear" w:fill="FFFFFF"/>
        </w:rPr>
        <w:t>滚筒轴与轮毂之间的焊接必须采用完全穿透的连续焊。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32"/>
          <w:sz w:val="32"/>
          <w:szCs w:val="32"/>
          <w:shd w:val="clear" w:fill="FFFFFF"/>
          <w:lang w:val="en-US" w:eastAsia="zh-CN"/>
        </w:rPr>
        <w:t>滚筒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</w:rPr>
        <w:t>轴在加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  <w:lang w:val="en-US" w:eastAsia="zh-CN"/>
        </w:rPr>
        <w:t>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</w:rPr>
        <w:t>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  <w:lang w:val="en-US" w:eastAsia="zh-CN"/>
        </w:rPr>
        <w:t>必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</w:rPr>
        <w:t>须进行超声波检查，加工后采用电磁介质或渗透性检查。</w:t>
      </w:r>
    </w:p>
    <w:p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" w:lineRule="atLeast"/>
        <w:textAlignment w:val="auto"/>
        <w:rPr>
          <w:rFonts w:hint="eastAsia" w:ascii="宋体" w:hAnsi="宋体" w:eastAsia="宋体" w:cs="宋体"/>
          <w:i w:val="0"/>
          <w:caps w:val="0"/>
          <w:color w:val="000000"/>
          <w:spacing w:val="-10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  <w:lang w:val="en-US" w:eastAsia="zh-CN"/>
        </w:rPr>
        <w:t>3、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7"/>
          <w:sz w:val="32"/>
          <w:szCs w:val="32"/>
          <w:shd w:val="clear" w:fill="FFFFFF"/>
        </w:rPr>
        <w:t>滚筒直径≥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2"/>
          <w:sz w:val="32"/>
          <w:szCs w:val="32"/>
          <w:shd w:val="clear" w:fill="FFFFFF"/>
        </w:rPr>
        <w:t>630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9"/>
          <w:sz w:val="32"/>
          <w:szCs w:val="32"/>
          <w:shd w:val="clear" w:fill="FFFFFF"/>
        </w:rPr>
        <w:t>结构采用铸焊结构，铸焊结构的滚筒，要对其焊缝进行超声波和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0"/>
          <w:sz w:val="32"/>
          <w:szCs w:val="32"/>
          <w:shd w:val="clear" w:fill="FFFFFF"/>
        </w:rPr>
        <w:t>X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探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伤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确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保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焊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质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量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退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火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处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理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，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以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消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除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内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应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力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不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得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有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夹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层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、折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叠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  <w:lang w:val="en-US" w:eastAsia="zh-CN"/>
        </w:rPr>
        <w:t xml:space="preserve">  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51"/>
          <w:sz w:val="32"/>
          <w:szCs w:val="32"/>
          <w:shd w:val="clear" w:fill="FFFFFF"/>
        </w:rPr>
        <w:t>、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000000"/>
          <w:spacing w:val="-10"/>
          <w:sz w:val="32"/>
          <w:szCs w:val="32"/>
          <w:shd w:val="clear" w:fill="FFFFFF"/>
        </w:rPr>
        <w:t>裂纹、结疤等缺陷。滚筒装配后，要进行静平衡实验。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20" w:after="120" w:line="120" w:lineRule="atLeas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4、</w:t>
      </w:r>
      <w:r>
        <w:rPr>
          <w:rFonts w:hint="eastAsia" w:ascii="宋体" w:hAnsi="宋体" w:cs="宋体"/>
          <w:sz w:val="32"/>
          <w:szCs w:val="32"/>
          <w:lang w:val="en-US" w:eastAsia="zh-CN"/>
        </w:rPr>
        <w:t>所有滚筒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采用</w:t>
      </w:r>
      <w:r>
        <w:rPr>
          <w:rFonts w:hint="eastAsia" w:ascii="宋体" w:hAnsi="宋体" w:cs="宋体"/>
          <w:sz w:val="32"/>
          <w:szCs w:val="32"/>
          <w:lang w:val="en-US" w:eastAsia="zh-CN"/>
        </w:rPr>
        <w:t>SKF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双列球面滚子系列轴承，剖分式轴承座，采用油嘴沟槽方式润滑。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</w:rPr>
      </w:pPr>
      <w:r>
        <w:rPr>
          <w:rFonts w:hint="eastAsia" w:ascii="宋体" w:hAnsi="宋体" w:eastAsia="宋体" w:cs="宋体"/>
          <w:b w:val="0"/>
          <w:bCs w:val="0"/>
          <w:sz w:val="32"/>
          <w:szCs w:val="32"/>
          <w:lang w:val="en-US" w:eastAsia="zh-CN"/>
        </w:rPr>
        <w:t>5、所有传动滚筒表面采用菱形胶层，改向滚筒表面采用平面胶层。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33"/>
          <w:sz w:val="32"/>
          <w:szCs w:val="32"/>
          <w:shd w:val="clear" w:fill="FFFFFF"/>
        </w:rPr>
        <w:t>传动滚筒表面</w:t>
      </w:r>
      <w:r>
        <w:rPr>
          <w:rFonts w:hint="eastAsia" w:ascii="宋体" w:hAnsi="宋体" w:eastAsia="宋体" w:cs="宋体"/>
          <w:i w:val="0"/>
          <w:caps w:val="0"/>
          <w:color w:val="000000"/>
          <w:spacing w:val="32"/>
          <w:sz w:val="32"/>
          <w:szCs w:val="32"/>
          <w:shd w:val="clear" w:fill="FFFFFF"/>
        </w:rPr>
        <w:t>胶层的形成方式为铸胶覆面，胶层厚度不得小于</w:t>
      </w:r>
      <w:r>
        <w:rPr>
          <w:rFonts w:hint="eastAsia" w:ascii="宋体" w:hAnsi="宋体" w:eastAsia="宋体" w:cs="宋体"/>
          <w:i w:val="0"/>
          <w:caps w:val="0"/>
          <w:color w:val="000000"/>
          <w:spacing w:val="-13"/>
          <w:sz w:val="32"/>
          <w:szCs w:val="32"/>
          <w:shd w:val="clear" w:fill="FFFFFF"/>
        </w:rPr>
        <w:t>12mm</w:t>
      </w:r>
      <w:r>
        <w:rPr>
          <w:rFonts w:hint="eastAsia" w:ascii="宋体" w:hAnsi="宋体" w:eastAsia="宋体" w:cs="宋体"/>
          <w:i w:val="0"/>
          <w:caps w:val="0"/>
          <w:color w:val="000000"/>
          <w:spacing w:val="33"/>
          <w:sz w:val="32"/>
          <w:szCs w:val="32"/>
          <w:shd w:val="clear" w:fill="FFFFFF"/>
        </w:rPr>
        <w:t>，胶层硬度不得低于邵氏</w:t>
      </w:r>
      <w:r>
        <w:rPr>
          <w:rFonts w:hint="eastAsia" w:ascii="宋体" w:hAnsi="宋体" w:eastAsia="宋体" w:cs="宋体"/>
          <w:i w:val="0"/>
          <w:caps w:val="0"/>
          <w:color w:val="000000"/>
          <w:spacing w:val="-13"/>
          <w:sz w:val="32"/>
          <w:szCs w:val="32"/>
          <w:shd w:val="clear" w:fill="FFFFFF"/>
        </w:rPr>
        <w:t>70</w:t>
      </w:r>
      <w:r>
        <w:rPr>
          <w:rFonts w:hint="eastAsia" w:ascii="宋体" w:hAnsi="宋体" w:eastAsia="宋体" w:cs="宋体"/>
          <w:i w:val="0"/>
          <w:caps w:val="0"/>
          <w:color w:val="000000"/>
          <w:spacing w:val="38"/>
          <w:sz w:val="32"/>
          <w:szCs w:val="32"/>
          <w:shd w:val="clear" w:fill="FFFFFF"/>
        </w:rPr>
        <w:t>度；改</w:t>
      </w:r>
      <w:r>
        <w:rPr>
          <w:rFonts w:hint="eastAsia" w:ascii="宋体" w:hAnsi="宋体" w:eastAsia="宋体" w:cs="宋体"/>
          <w:i w:val="0"/>
          <w:caps w:val="0"/>
          <w:color w:val="000000"/>
          <w:spacing w:val="-10"/>
          <w:sz w:val="32"/>
          <w:szCs w:val="32"/>
          <w:shd w:val="clear" w:fill="FFFFFF"/>
        </w:rPr>
        <w:t>向滚筒表面胶层的形成方式为铸胶，胶层厚度不得小于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  <w:shd w:val="clear" w:fill="FFFFFF"/>
        </w:rPr>
        <w:t>12mm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，</w:t>
      </w:r>
      <w:r>
        <w:rPr>
          <w:rFonts w:hint="eastAsia" w:ascii="宋体" w:hAnsi="宋体" w:eastAsia="宋体" w:cs="宋体"/>
          <w:i w:val="0"/>
          <w:caps w:val="0"/>
          <w:color w:val="000000"/>
          <w:spacing w:val="-13"/>
          <w:sz w:val="32"/>
          <w:szCs w:val="32"/>
          <w:shd w:val="clear" w:fill="FFFFFF"/>
        </w:rPr>
        <w:t>800</w:t>
      </w:r>
      <w:r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  <w:shd w:val="clear" w:fill="FFFFFF"/>
        </w:rPr>
        <w:t>毫米以上直径滚筒胶层</w:t>
      </w:r>
      <w:r>
        <w:rPr>
          <w:rFonts w:hint="eastAsia" w:ascii="宋体" w:hAnsi="宋体" w:eastAsia="宋体" w:cs="宋体"/>
          <w:i w:val="0"/>
          <w:caps w:val="0"/>
          <w:color w:val="000000"/>
          <w:spacing w:val="35"/>
          <w:sz w:val="32"/>
          <w:szCs w:val="32"/>
          <w:shd w:val="clear" w:fill="FFFFFF"/>
        </w:rPr>
        <w:t>厚度不得小于</w:t>
      </w:r>
      <w:r>
        <w:rPr>
          <w:rFonts w:hint="eastAsia" w:ascii="宋体" w:hAnsi="宋体" w:eastAsia="宋体" w:cs="宋体"/>
          <w:i w:val="0"/>
          <w:caps w:val="0"/>
          <w:color w:val="000000"/>
          <w:spacing w:val="-5"/>
          <w:sz w:val="32"/>
          <w:szCs w:val="32"/>
          <w:shd w:val="clear" w:fill="FFFFFF"/>
        </w:rPr>
        <w:t>15mm</w:t>
      </w:r>
      <w:r>
        <w:rPr>
          <w:rFonts w:hint="eastAsia" w:ascii="宋体" w:hAnsi="宋体" w:eastAsia="宋体" w:cs="宋体"/>
          <w:i w:val="0"/>
          <w:caps w:val="0"/>
          <w:color w:val="000000"/>
          <w:spacing w:val="33"/>
          <w:sz w:val="32"/>
          <w:szCs w:val="32"/>
          <w:shd w:val="clear" w:fill="FFFFFF"/>
        </w:rPr>
        <w:t>，胶层硬度不得低于邵氏</w:t>
      </w:r>
      <w:r>
        <w:rPr>
          <w:rFonts w:hint="eastAsia" w:ascii="宋体" w:hAnsi="宋体" w:eastAsia="宋体" w:cs="宋体"/>
          <w:i w:val="0"/>
          <w:caps w:val="0"/>
          <w:color w:val="000000"/>
          <w:spacing w:val="-13"/>
          <w:sz w:val="32"/>
          <w:szCs w:val="32"/>
          <w:shd w:val="clear" w:fill="FFFFFF"/>
        </w:rPr>
        <w:t>60</w:t>
      </w:r>
      <w:r>
        <w:rPr>
          <w:rFonts w:hint="eastAsia" w:ascii="宋体" w:hAnsi="宋体" w:eastAsia="宋体" w:cs="宋体"/>
          <w:i w:val="0"/>
          <w:caps w:val="0"/>
          <w:color w:val="000000"/>
          <w:spacing w:val="33"/>
          <w:sz w:val="32"/>
          <w:szCs w:val="32"/>
          <w:shd w:val="clear" w:fill="FFFFFF"/>
        </w:rPr>
        <w:t>度。胶层不允许出现脱层、起泡等缺陷。</w:t>
      </w:r>
      <w:r>
        <w:rPr>
          <w:rFonts w:hint="eastAsia" w:ascii="宋体" w:hAnsi="宋体" w:eastAsia="宋体" w:cs="宋体"/>
          <w:i w:val="0"/>
          <w:caps w:val="0"/>
          <w:color w:val="000000"/>
          <w:spacing w:val="-8"/>
          <w:sz w:val="32"/>
          <w:szCs w:val="32"/>
          <w:shd w:val="clear" w:fill="FFFFFF"/>
        </w:rPr>
        <w:t>面胶和底胶的物理机械性能应符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  <w:shd w:val="clear" w:fill="FFFFFF"/>
        </w:rPr>
        <w:t>GB10595-89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  <w:shd w:val="clear" w:fill="FFFFFF"/>
        </w:rPr>
        <w:t>中的有关规定。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14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  <w:shd w:val="clear" w:fill="FFFFFF"/>
          <w:lang w:val="en-US" w:eastAsia="zh-CN"/>
        </w:rPr>
        <w:t>6、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-11"/>
          <w:sz w:val="32"/>
          <w:szCs w:val="32"/>
          <w:shd w:val="clear" w:fill="FFFFFF"/>
        </w:rPr>
        <w:t>使用寿命≥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3</w:t>
      </w:r>
      <w:r>
        <w:rPr>
          <w:rFonts w:hint="eastAsia" w:ascii="宋体" w:hAnsi="宋体" w:eastAsia="宋体" w:cs="宋体"/>
          <w:i w:val="0"/>
          <w:caps w:val="0"/>
          <w:color w:val="000000"/>
          <w:spacing w:val="-14"/>
          <w:sz w:val="32"/>
          <w:szCs w:val="32"/>
          <w:shd w:val="clear" w:fill="FFFFFF"/>
        </w:rPr>
        <w:t>万小时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lang w:val="en-US" w:eastAsia="zh-CN"/>
        </w:rPr>
        <w:t>7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、</w:t>
      </w:r>
      <w:r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  <w:shd w:val="clear" w:fill="FFFFFF"/>
        </w:rPr>
        <w:t>滚筒的主要技术参数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7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7"/>
          <w:sz w:val="32"/>
          <w:szCs w:val="32"/>
          <w:shd w:val="clear" w:fill="FFFFFF"/>
        </w:rPr>
        <w:t>滚筒外圆径向跳动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3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9"/>
          <w:sz w:val="32"/>
          <w:szCs w:val="32"/>
          <w:shd w:val="clear" w:fill="FFFFFF"/>
        </w:rPr>
        <w:t>改向滚筒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32"/>
          <w:szCs w:val="32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≤</w:t>
      </w:r>
      <w:r>
        <w:rPr>
          <w:rFonts w:hint="eastAsia" w:ascii="宋体" w:hAnsi="宋体" w:eastAsia="宋体" w:cs="宋体"/>
          <w:i w:val="0"/>
          <w:caps w:val="0"/>
          <w:color w:val="000000"/>
          <w:spacing w:val="-2"/>
          <w:sz w:val="32"/>
          <w:szCs w:val="32"/>
          <w:shd w:val="clear" w:fill="FFFFFF"/>
        </w:rPr>
        <w:t>800mm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时≤</w:t>
      </w:r>
      <w:r>
        <w:rPr>
          <w:rFonts w:hint="eastAsia" w:ascii="宋体" w:hAnsi="宋体" w:eastAsia="宋体" w:cs="宋体"/>
          <w:i w:val="0"/>
          <w:caps w:val="0"/>
          <w:color w:val="000000"/>
          <w:spacing w:val="-3"/>
          <w:sz w:val="32"/>
          <w:szCs w:val="32"/>
          <w:shd w:val="clear" w:fill="FFFFFF"/>
        </w:rPr>
        <w:t>1.05mm 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32"/>
          <w:szCs w:val="32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＞</w:t>
      </w:r>
      <w:r>
        <w:rPr>
          <w:rFonts w:hint="eastAsia" w:ascii="宋体" w:hAnsi="宋体" w:eastAsia="宋体" w:cs="宋体"/>
          <w:i w:val="0"/>
          <w:caps w:val="0"/>
          <w:color w:val="000000"/>
          <w:spacing w:val="-7"/>
          <w:sz w:val="32"/>
          <w:szCs w:val="32"/>
          <w:shd w:val="clear" w:fill="FFFFFF"/>
        </w:rPr>
        <w:t>800mm</w:t>
      </w:r>
      <w:r>
        <w:rPr>
          <w:rFonts w:hint="eastAsia" w:ascii="宋体" w:hAnsi="宋体" w:eastAsia="宋体" w:cs="宋体"/>
          <w:i w:val="0"/>
          <w:caps w:val="0"/>
          <w:color w:val="000000"/>
          <w:spacing w:val="-27"/>
          <w:sz w:val="32"/>
          <w:szCs w:val="32"/>
          <w:shd w:val="clear" w:fill="FFFFFF"/>
        </w:rPr>
        <w:t>时≤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  <w:shd w:val="clear" w:fill="FFFFFF"/>
        </w:rPr>
        <w:t>1.40mm 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传动滚筒</w:t>
      </w:r>
      <w:r>
        <w:rPr>
          <w:rFonts w:hint="default" w:ascii="Arial" w:hAnsi="Arial" w:cs="Arial"/>
          <w:i w:val="0"/>
          <w:caps w:val="0"/>
          <w:color w:val="000000"/>
          <w:spacing w:val="0"/>
          <w:sz w:val="32"/>
          <w:szCs w:val="32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≤</w:t>
      </w:r>
      <w:r>
        <w:rPr>
          <w:rFonts w:hint="eastAsia" w:ascii="宋体" w:hAnsi="宋体" w:eastAsia="宋体" w:cs="宋体"/>
          <w:i w:val="0"/>
          <w:caps w:val="0"/>
          <w:color w:val="000000"/>
          <w:spacing w:val="-7"/>
          <w:sz w:val="32"/>
          <w:szCs w:val="32"/>
          <w:shd w:val="clear" w:fill="FFFFFF"/>
        </w:rPr>
        <w:t>800mm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时≤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  <w:shd w:val="clear" w:fill="FFFFFF"/>
        </w:rPr>
        <w:t>1.05mm 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</w:rPr>
      </w:pPr>
      <w:r>
        <w:rPr>
          <w:rFonts w:hint="default" w:ascii="Arial" w:hAnsi="Arial" w:cs="Arial"/>
          <w:i w:val="0"/>
          <w:caps w:val="0"/>
          <w:color w:val="000000"/>
          <w:spacing w:val="0"/>
          <w:sz w:val="32"/>
          <w:szCs w:val="32"/>
          <w:shd w:val="clear" w:fill="FFFFFF"/>
        </w:rPr>
        <w:t>φ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32"/>
          <w:szCs w:val="32"/>
          <w:shd w:val="clear" w:fill="FFFFFF"/>
        </w:rPr>
        <w:t>＞</w:t>
      </w:r>
      <w:r>
        <w:rPr>
          <w:rFonts w:hint="eastAsia" w:ascii="宋体" w:hAnsi="宋体" w:eastAsia="宋体" w:cs="宋体"/>
          <w:i w:val="0"/>
          <w:caps w:val="0"/>
          <w:color w:val="000000"/>
          <w:spacing w:val="-7"/>
          <w:sz w:val="32"/>
          <w:szCs w:val="32"/>
          <w:shd w:val="clear" w:fill="FFFFFF"/>
        </w:rPr>
        <w:t>800mm</w:t>
      </w:r>
      <w:r>
        <w:rPr>
          <w:rFonts w:hint="eastAsia" w:ascii="宋体" w:hAnsi="宋体" w:eastAsia="宋体" w:cs="宋体"/>
          <w:i w:val="0"/>
          <w:caps w:val="0"/>
          <w:color w:val="000000"/>
          <w:spacing w:val="-27"/>
          <w:sz w:val="32"/>
          <w:szCs w:val="32"/>
          <w:shd w:val="clear" w:fill="FFFFFF"/>
        </w:rPr>
        <w:t>时≤</w:t>
      </w:r>
      <w:r>
        <w:rPr>
          <w:rFonts w:hint="eastAsia" w:ascii="宋体" w:hAnsi="宋体" w:eastAsia="宋体" w:cs="宋体"/>
          <w:i w:val="0"/>
          <w:caps w:val="0"/>
          <w:color w:val="000000"/>
          <w:spacing w:val="-4"/>
          <w:sz w:val="32"/>
          <w:szCs w:val="32"/>
          <w:shd w:val="clear" w:fill="FFFFFF"/>
        </w:rPr>
        <w:t>1.40mm </w:t>
      </w:r>
    </w:p>
    <w:p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="0" w:right="0" w:firstLine="0"/>
        <w:rPr>
          <w:rFonts w:hint="eastAsia" w:ascii="宋体" w:hAnsi="宋体" w:eastAsia="宋体" w:cs="宋体"/>
          <w:i w:val="0"/>
          <w:caps w:val="0"/>
          <w:color w:val="000000"/>
          <w:spacing w:val="-13"/>
          <w:sz w:val="20"/>
          <w:szCs w:val="20"/>
          <w:shd w:val="clear" w:fill="FFFFFF"/>
        </w:rPr>
      </w:pPr>
      <w:r>
        <w:rPr>
          <w:rFonts w:hint="eastAsia" w:ascii="宋体" w:hAnsi="宋体" w:eastAsia="宋体" w:cs="宋体"/>
          <w:i w:val="0"/>
          <w:caps w:val="0"/>
          <w:color w:val="000000"/>
          <w:spacing w:val="-7"/>
          <w:sz w:val="32"/>
          <w:szCs w:val="32"/>
          <w:shd w:val="clear" w:fill="FFFFFF"/>
        </w:rPr>
        <w:t>静平衡精度</w:t>
      </w:r>
      <w:r>
        <w:rPr>
          <w:rFonts w:hint="eastAsia" w:ascii="宋体" w:hAnsi="宋体" w:eastAsia="宋体" w:cs="宋体"/>
          <w:i w:val="0"/>
          <w:caps w:val="0"/>
          <w:color w:val="000000"/>
          <w:spacing w:val="-13"/>
          <w:sz w:val="32"/>
          <w:szCs w:val="32"/>
          <w:shd w:val="clear" w:fill="FFFFFF"/>
        </w:rPr>
        <w:t>G40 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Chars="0" w:right="0" w:rightChars="0"/>
        <w:rPr>
          <w:rFonts w:hint="default" w:cs="宋体"/>
          <w:i w:val="0"/>
          <w:caps w:val="0"/>
          <w:color w:val="000000"/>
          <w:spacing w:val="-13"/>
          <w:sz w:val="44"/>
          <w:szCs w:val="44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-13"/>
          <w:sz w:val="36"/>
          <w:szCs w:val="36"/>
          <w:shd w:val="clear" w:fill="FFFFFF"/>
          <w:lang w:val="en-US" w:eastAsia="zh-CN"/>
        </w:rPr>
        <w:t>8、</w:t>
      </w:r>
      <w:r>
        <w:rPr>
          <w:rFonts w:hint="eastAsia" w:ascii="宋体" w:hAnsi="宋体" w:eastAsia="宋体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新掘进皮带滚筒</w:t>
      </w:r>
      <w:r>
        <w:rPr>
          <w:rFonts w:hint="eastAsia" w:cs="宋体"/>
          <w:i w:val="0"/>
          <w:color w:val="000000"/>
          <w:kern w:val="0"/>
          <w:sz w:val="32"/>
          <w:szCs w:val="32"/>
          <w:u w:val="none"/>
          <w:lang w:val="en-US" w:eastAsia="zh-CN" w:bidi="ar"/>
        </w:rPr>
        <w:t>(5个）轴径、轴承、筒皮厚度等需重新设计定型，增加强度。托辊筒皮厚度不低于3mm。</w:t>
      </w:r>
    </w:p>
    <w:p>
      <w:pPr>
        <w:pStyle w:val="5"/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uto"/>
        <w:ind w:leftChars="0" w:right="0" w:rightChars="0"/>
        <w:rPr>
          <w:rFonts w:hint="default" w:cs="宋体"/>
          <w:i w:val="0"/>
          <w:caps w:val="0"/>
          <w:color w:val="000000"/>
          <w:spacing w:val="-13"/>
          <w:sz w:val="36"/>
          <w:szCs w:val="36"/>
          <w:shd w:val="clear" w:fill="FFFFFF"/>
          <w:lang w:val="en-US" w:eastAsia="zh-CN"/>
        </w:rPr>
      </w:pPr>
      <w:r>
        <w:rPr>
          <w:rFonts w:hint="eastAsia" w:cs="宋体"/>
          <w:i w:val="0"/>
          <w:caps w:val="0"/>
          <w:color w:val="000000"/>
          <w:spacing w:val="-13"/>
          <w:sz w:val="36"/>
          <w:szCs w:val="36"/>
          <w:shd w:val="clear" w:fill="FFFFFF"/>
          <w:lang w:val="en-US" w:eastAsia="zh-CN"/>
        </w:rPr>
        <w:t>二、滚筒尺寸</w:t>
      </w:r>
    </w:p>
    <w:tbl>
      <w:tblPr>
        <w:tblStyle w:val="6"/>
        <w:tblpPr w:leftFromText="180" w:rightFromText="180" w:vertAnchor="text" w:horzAnchor="page" w:tblpX="966" w:tblpY="191"/>
        <w:tblOverlap w:val="never"/>
        <w:tblW w:w="1037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45"/>
        <w:gridCol w:w="2000"/>
        <w:gridCol w:w="3400"/>
        <w:gridCol w:w="1193"/>
        <w:gridCol w:w="173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使用地点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滚筒名称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规格尺寸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备件数量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新掘进皮带滚筒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Φ800MM×1150MM  注胶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浇铸一体加长轴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Φ500MM×1150MM  注胶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浇铸一体加长轴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Φ630MM×1150MM  注胶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浇铸一体加长轴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Φ400MM×1150MM  注胶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浇铸一体加长轴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4"/>
                <w:szCs w:val="24"/>
                <w:u w:val="none"/>
                <w:lang w:val="en-US" w:eastAsia="zh-CN"/>
              </w:rPr>
              <w:t>浇铸一体加长轴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主井一部皮带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机头卸载滚筒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Φ1250MM×1400MM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机尾滚筒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联络巷二部皮带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机头卸载滚筒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机尾滚筒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张紧滚筒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主运三部皮带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Φ800MM×1400MM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机头卸载滚筒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机尾滚筒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张紧滚筒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Φ200MM×1400MM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掘进1米主运皮带</w:t>
            </w: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传动滚筒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Φ630MM×1150MM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机头卸载滚筒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Φ400MM×1150MM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机尾滚筒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Φ300MM×1150MM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张紧滚筒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Φ300MM×1150MM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4" w:hRule="atLeast"/>
        </w:trPr>
        <w:tc>
          <w:tcPr>
            <w:tcW w:w="2045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改向滚筒</w:t>
            </w:r>
          </w:p>
        </w:tc>
        <w:tc>
          <w:tcPr>
            <w:tcW w:w="3400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Φ200MM×1150MM</w:t>
            </w:r>
          </w:p>
        </w:tc>
        <w:tc>
          <w:tcPr>
            <w:tcW w:w="1193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cs="宋体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1</w:t>
            </w:r>
          </w:p>
        </w:tc>
        <w:tc>
          <w:tcPr>
            <w:tcW w:w="1739" w:type="dxa"/>
            <w:tcBorders>
              <w:tl2br w:val="nil"/>
              <w:tr2bl w:val="nil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p>
      <w:pPr>
        <w:rPr>
          <w:rFonts w:hint="default"/>
          <w:lang w:val="en-US" w:eastAsia="zh-CN"/>
        </w:rPr>
      </w:pPr>
    </w:p>
    <w:sectPr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9C3ACA"/>
    <w:rsid w:val="11D3556A"/>
    <w:rsid w:val="1C216AE6"/>
    <w:rsid w:val="1C9C3ACA"/>
    <w:rsid w:val="1DC609B7"/>
    <w:rsid w:val="221C2F8A"/>
    <w:rsid w:val="2B2B5D58"/>
    <w:rsid w:val="2F427AA0"/>
    <w:rsid w:val="42FB1275"/>
    <w:rsid w:val="57C27217"/>
    <w:rsid w:val="5E357FD5"/>
    <w:rsid w:val="679A705C"/>
    <w:rsid w:val="7B7F2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 w:cs="Times New Roman"/>
      <w:b/>
      <w:bCs/>
      <w:sz w:val="32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2020-10-27T09:58:00Z</dcterms:created>
  <dc:creator>云</dc:creator>
  <cp:lastModifiedBy>Administrator</cp:lastModifiedBy>
  <cp:lastPrinted>2020-10-30T04:04:00Z</cp:lastPrinted>
  <dcterms:modified xsi:type="dcterms:W3CDTF">2020-12-18T01:57:19Z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